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7" w:rsidRDefault="00533F17">
      <w:pPr>
        <w:pStyle w:val="BodyText"/>
        <w:rPr>
          <w:sz w:val="20"/>
        </w:rPr>
      </w:pPr>
    </w:p>
    <w:p w:rsidR="00533F17" w:rsidRDefault="00533F17">
      <w:pPr>
        <w:pStyle w:val="BodyText"/>
        <w:rPr>
          <w:sz w:val="20"/>
        </w:rPr>
      </w:pPr>
    </w:p>
    <w:p w:rsidR="00533F17" w:rsidRDefault="00533F17">
      <w:pPr>
        <w:pStyle w:val="BodyText"/>
        <w:rPr>
          <w:sz w:val="20"/>
        </w:rPr>
      </w:pPr>
    </w:p>
    <w:p w:rsidR="00533F17" w:rsidRDefault="00533F17">
      <w:pPr>
        <w:pStyle w:val="BodyText"/>
        <w:spacing w:before="2"/>
        <w:rPr>
          <w:sz w:val="18"/>
        </w:rPr>
      </w:pPr>
    </w:p>
    <w:p w:rsidR="00533F17" w:rsidRDefault="004C1D4B">
      <w:pPr>
        <w:spacing w:line="261" w:lineRule="auto"/>
        <w:ind w:left="1066" w:right="1055"/>
        <w:jc w:val="center"/>
        <w:rPr>
          <w:sz w:val="48"/>
        </w:rPr>
      </w:pPr>
      <w:r>
        <w:rPr>
          <w:color w:val="231F20"/>
          <w:sz w:val="48"/>
        </w:rPr>
        <w:t>Concept of Aggregate Turnover in GST</w:t>
      </w:r>
    </w:p>
    <w:p w:rsidR="00533F17" w:rsidRDefault="004C1D4B">
      <w:pPr>
        <w:pStyle w:val="BodyText"/>
        <w:spacing w:before="72"/>
        <w:ind w:left="137" w:right="135"/>
        <w:jc w:val="both"/>
      </w:pPr>
      <w:r>
        <w:rPr>
          <w:color w:val="231F20"/>
          <w:spacing w:val="-5"/>
        </w:rPr>
        <w:t xml:space="preserve">Turnover, </w:t>
      </w:r>
      <w:r>
        <w:rPr>
          <w:color w:val="231F20"/>
        </w:rPr>
        <w:t>in common parlance, is the total volume of a business.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‘aggregate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turnover’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in </w:t>
      </w:r>
      <w:r>
        <w:rPr>
          <w:color w:val="231F20"/>
        </w:rPr>
        <w:t>GST law 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under:</w:t>
      </w:r>
    </w:p>
    <w:p w:rsidR="00533F17" w:rsidRDefault="004C1D4B">
      <w:pPr>
        <w:spacing w:before="181" w:line="206" w:lineRule="auto"/>
        <w:ind w:left="137" w:right="126"/>
        <w:jc w:val="both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color w:val="231F20"/>
          <w:w w:val="95"/>
          <w:sz w:val="26"/>
        </w:rPr>
        <w:t>“aggregate turnover” means the aggregate value of all</w:t>
      </w:r>
      <w:r>
        <w:rPr>
          <w:rFonts w:ascii="Palatino Linotype" w:hAnsi="Palatino Linotype"/>
          <w:i/>
          <w:color w:val="231F20"/>
          <w:spacing w:val="-20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 xml:space="preserve">taxable </w:t>
      </w:r>
      <w:r>
        <w:rPr>
          <w:rFonts w:ascii="Palatino Linotype" w:hAnsi="Palatino Linotype"/>
          <w:i/>
          <w:color w:val="231F20"/>
          <w:sz w:val="26"/>
        </w:rPr>
        <w:t>supplies</w:t>
      </w:r>
      <w:r>
        <w:rPr>
          <w:rFonts w:ascii="Palatino Linotype" w:hAnsi="Palatino Linotype"/>
          <w:i/>
          <w:color w:val="231F20"/>
          <w:spacing w:val="-3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(excluding</w:t>
      </w:r>
      <w:r>
        <w:rPr>
          <w:rFonts w:ascii="Palatino Linotype" w:hAnsi="Palatino Linotype"/>
          <w:i/>
          <w:color w:val="231F20"/>
          <w:spacing w:val="-3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the</w:t>
      </w:r>
      <w:r>
        <w:rPr>
          <w:rFonts w:ascii="Palatino Linotype" w:hAnsi="Palatino Linotype"/>
          <w:i/>
          <w:color w:val="231F20"/>
          <w:spacing w:val="-3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value</w:t>
      </w:r>
      <w:r>
        <w:rPr>
          <w:rFonts w:ascii="Palatino Linotype" w:hAnsi="Palatino Linotype"/>
          <w:i/>
          <w:color w:val="231F20"/>
          <w:spacing w:val="-3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of</w:t>
      </w:r>
      <w:r>
        <w:rPr>
          <w:rFonts w:ascii="Palatino Linotype" w:hAnsi="Palatino Linotype"/>
          <w:i/>
          <w:color w:val="231F20"/>
          <w:spacing w:val="-34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inward</w:t>
      </w:r>
      <w:r>
        <w:rPr>
          <w:rFonts w:ascii="Palatino Linotype" w:hAnsi="Palatino Linotype"/>
          <w:i/>
          <w:color w:val="231F20"/>
          <w:spacing w:val="-3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supplies</w:t>
      </w:r>
      <w:r>
        <w:rPr>
          <w:rFonts w:ascii="Palatino Linotype" w:hAnsi="Palatino Linotype"/>
          <w:i/>
          <w:color w:val="231F20"/>
          <w:spacing w:val="-3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on</w:t>
      </w:r>
      <w:r>
        <w:rPr>
          <w:rFonts w:ascii="Palatino Linotype" w:hAnsi="Palatino Linotype"/>
          <w:i/>
          <w:color w:val="231F20"/>
          <w:spacing w:val="-3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which</w:t>
      </w:r>
      <w:r>
        <w:rPr>
          <w:rFonts w:ascii="Palatino Linotype" w:hAnsi="Palatino Linotype"/>
          <w:i/>
          <w:color w:val="231F20"/>
          <w:spacing w:val="-3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 xml:space="preserve">tax </w:t>
      </w:r>
      <w:r>
        <w:rPr>
          <w:rFonts w:ascii="Palatino Linotype" w:hAnsi="Palatino Linotype"/>
          <w:i/>
          <w:color w:val="231F20"/>
          <w:w w:val="95"/>
          <w:sz w:val="26"/>
        </w:rPr>
        <w:t>is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payable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by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a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person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on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reverse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charge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basis),</w:t>
      </w:r>
      <w:r>
        <w:rPr>
          <w:rFonts w:ascii="Palatino Linotype" w:hAnsi="Palatino Linotype"/>
          <w:i/>
          <w:color w:val="231F20"/>
          <w:spacing w:val="-26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>exempt</w:t>
      </w:r>
      <w:r>
        <w:rPr>
          <w:rFonts w:ascii="Palatino Linotype" w:hAnsi="Palatino Linotype"/>
          <w:i/>
          <w:color w:val="231F20"/>
          <w:spacing w:val="-21"/>
          <w:w w:val="95"/>
          <w:sz w:val="26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6"/>
        </w:rPr>
        <w:t xml:space="preserve">supplies, </w:t>
      </w:r>
      <w:r>
        <w:rPr>
          <w:rFonts w:ascii="Palatino Linotype" w:hAnsi="Palatino Linotype"/>
          <w:i/>
          <w:color w:val="231F20"/>
          <w:sz w:val="26"/>
        </w:rPr>
        <w:t>exports</w:t>
      </w:r>
      <w:r>
        <w:rPr>
          <w:rFonts w:ascii="Palatino Linotype" w:hAnsi="Palatino Linotype"/>
          <w:i/>
          <w:color w:val="231F20"/>
          <w:spacing w:val="-33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of</w:t>
      </w:r>
      <w:r>
        <w:rPr>
          <w:rFonts w:ascii="Palatino Linotype" w:hAnsi="Palatino Linotype"/>
          <w:i/>
          <w:color w:val="231F20"/>
          <w:spacing w:val="-31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goods</w:t>
      </w:r>
      <w:r>
        <w:rPr>
          <w:rFonts w:ascii="Palatino Linotype" w:hAnsi="Palatino Linotype"/>
          <w:i/>
          <w:color w:val="231F20"/>
          <w:spacing w:val="-33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or</w:t>
      </w:r>
      <w:r>
        <w:rPr>
          <w:rFonts w:ascii="Palatino Linotype" w:hAnsi="Palatino Linotype"/>
          <w:i/>
          <w:color w:val="231F20"/>
          <w:spacing w:val="-32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services</w:t>
      </w:r>
      <w:r>
        <w:rPr>
          <w:rFonts w:ascii="Palatino Linotype" w:hAnsi="Palatino Linotype"/>
          <w:i/>
          <w:color w:val="231F20"/>
          <w:spacing w:val="-32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or</w:t>
      </w:r>
      <w:r>
        <w:rPr>
          <w:rFonts w:ascii="Palatino Linotype" w:hAnsi="Palatino Linotype"/>
          <w:i/>
          <w:color w:val="231F20"/>
          <w:spacing w:val="-33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both</w:t>
      </w:r>
      <w:r>
        <w:rPr>
          <w:rFonts w:ascii="Palatino Linotype" w:hAnsi="Palatino Linotype"/>
          <w:i/>
          <w:color w:val="231F20"/>
          <w:spacing w:val="-32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and</w:t>
      </w:r>
      <w:r>
        <w:rPr>
          <w:rFonts w:ascii="Palatino Linotype" w:hAnsi="Palatino Linotype"/>
          <w:i/>
          <w:color w:val="231F20"/>
          <w:spacing w:val="-32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inter-State</w:t>
      </w:r>
      <w:r>
        <w:rPr>
          <w:rFonts w:ascii="Palatino Linotype" w:hAnsi="Palatino Linotype"/>
          <w:i/>
          <w:color w:val="231F20"/>
          <w:spacing w:val="-33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supplies</w:t>
      </w:r>
      <w:r>
        <w:rPr>
          <w:rFonts w:ascii="Palatino Linotype" w:hAnsi="Palatino Linotype"/>
          <w:i/>
          <w:color w:val="231F20"/>
          <w:spacing w:val="-32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of persons</w:t>
      </w:r>
      <w:r>
        <w:rPr>
          <w:rFonts w:ascii="Palatino Linotype" w:hAnsi="Palatino Linotype"/>
          <w:i/>
          <w:color w:val="231F20"/>
          <w:spacing w:val="-17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having</w:t>
      </w:r>
      <w:r>
        <w:rPr>
          <w:rFonts w:ascii="Palatino Linotype" w:hAnsi="Palatino Linotype"/>
          <w:i/>
          <w:color w:val="231F20"/>
          <w:spacing w:val="-1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the</w:t>
      </w:r>
      <w:r>
        <w:rPr>
          <w:rFonts w:ascii="Palatino Linotype" w:hAnsi="Palatino Linotype"/>
          <w:i/>
          <w:color w:val="231F20"/>
          <w:spacing w:val="-1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same</w:t>
      </w:r>
      <w:r>
        <w:rPr>
          <w:rFonts w:ascii="Palatino Linotype" w:hAnsi="Palatino Linotype"/>
          <w:i/>
          <w:color w:val="231F20"/>
          <w:spacing w:val="-1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Permanent</w:t>
      </w:r>
      <w:r>
        <w:rPr>
          <w:rFonts w:ascii="Palatino Linotype" w:hAnsi="Palatino Linotype"/>
          <w:i/>
          <w:color w:val="231F20"/>
          <w:spacing w:val="-1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Account</w:t>
      </w:r>
      <w:r>
        <w:rPr>
          <w:rFonts w:ascii="Palatino Linotype" w:hAnsi="Palatino Linotype"/>
          <w:i/>
          <w:color w:val="231F20"/>
          <w:spacing w:val="-16"/>
          <w:sz w:val="26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6"/>
        </w:rPr>
        <w:t>Number,</w:t>
      </w:r>
      <w:r>
        <w:rPr>
          <w:rFonts w:ascii="Palatino Linotype" w:hAnsi="Palatino Linotype"/>
          <w:i/>
          <w:color w:val="231F20"/>
          <w:spacing w:val="-20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to</w:t>
      </w:r>
      <w:r>
        <w:rPr>
          <w:rFonts w:ascii="Palatino Linotype" w:hAnsi="Palatino Linotype"/>
          <w:i/>
          <w:color w:val="231F20"/>
          <w:spacing w:val="-16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be computed</w:t>
      </w:r>
      <w:r>
        <w:rPr>
          <w:rFonts w:ascii="Palatino Linotype" w:hAnsi="Palatino Linotype"/>
          <w:i/>
          <w:color w:val="231F20"/>
          <w:spacing w:val="-39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on</w:t>
      </w:r>
      <w:r>
        <w:rPr>
          <w:rFonts w:ascii="Palatino Linotype" w:hAnsi="Palatino Linotype"/>
          <w:i/>
          <w:color w:val="231F20"/>
          <w:spacing w:val="-38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all</w:t>
      </w:r>
      <w:r>
        <w:rPr>
          <w:rFonts w:ascii="Palatino Linotype" w:hAnsi="Palatino Linotype"/>
          <w:i/>
          <w:color w:val="231F20"/>
          <w:spacing w:val="-39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India</w:t>
      </w:r>
      <w:r>
        <w:rPr>
          <w:rFonts w:ascii="Palatino Linotype" w:hAnsi="Palatino Linotype"/>
          <w:i/>
          <w:color w:val="231F20"/>
          <w:spacing w:val="-38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basis</w:t>
      </w:r>
      <w:r>
        <w:rPr>
          <w:rFonts w:ascii="Palatino Linotype" w:hAnsi="Palatino Linotype"/>
          <w:i/>
          <w:color w:val="231F20"/>
          <w:spacing w:val="-39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but</w:t>
      </w:r>
      <w:r>
        <w:rPr>
          <w:rFonts w:ascii="Palatino Linotype" w:hAnsi="Palatino Linotype"/>
          <w:i/>
          <w:color w:val="231F20"/>
          <w:spacing w:val="-38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excludes</w:t>
      </w:r>
      <w:r>
        <w:rPr>
          <w:rFonts w:ascii="Palatino Linotype" w:hAnsi="Palatino Linotype"/>
          <w:i/>
          <w:color w:val="231F20"/>
          <w:spacing w:val="-39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central</w:t>
      </w:r>
      <w:r>
        <w:rPr>
          <w:rFonts w:ascii="Palatino Linotype" w:hAnsi="Palatino Linotype"/>
          <w:i/>
          <w:color w:val="231F20"/>
          <w:spacing w:val="-38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tax,</w:t>
      </w:r>
      <w:r>
        <w:rPr>
          <w:rFonts w:ascii="Palatino Linotype" w:hAnsi="Palatino Linotype"/>
          <w:i/>
          <w:color w:val="231F20"/>
          <w:spacing w:val="-42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State</w:t>
      </w:r>
      <w:r>
        <w:rPr>
          <w:rFonts w:ascii="Palatino Linotype" w:hAnsi="Palatino Linotype"/>
          <w:i/>
          <w:color w:val="231F20"/>
          <w:spacing w:val="-38"/>
          <w:sz w:val="26"/>
        </w:rPr>
        <w:t xml:space="preserve"> </w:t>
      </w:r>
      <w:r>
        <w:rPr>
          <w:rFonts w:ascii="Palatino Linotype" w:hAnsi="Palatino Linotype"/>
          <w:i/>
          <w:color w:val="231F20"/>
          <w:spacing w:val="-5"/>
          <w:sz w:val="26"/>
        </w:rPr>
        <w:t xml:space="preserve">tax, </w:t>
      </w:r>
      <w:r>
        <w:rPr>
          <w:rFonts w:ascii="Palatino Linotype" w:hAnsi="Palatino Linotype"/>
          <w:i/>
          <w:color w:val="231F20"/>
          <w:sz w:val="26"/>
        </w:rPr>
        <w:t>Union</w:t>
      </w:r>
      <w:r>
        <w:rPr>
          <w:rFonts w:ascii="Palatino Linotype" w:hAnsi="Palatino Linotype"/>
          <w:i/>
          <w:color w:val="231F20"/>
          <w:spacing w:val="-1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territory</w:t>
      </w:r>
      <w:r>
        <w:rPr>
          <w:rFonts w:ascii="Palatino Linotype" w:hAnsi="Palatino Linotype"/>
          <w:i/>
          <w:color w:val="231F20"/>
          <w:spacing w:val="-1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tax,</w:t>
      </w:r>
      <w:r>
        <w:rPr>
          <w:rFonts w:ascii="Palatino Linotype" w:hAnsi="Palatino Linotype"/>
          <w:i/>
          <w:color w:val="231F20"/>
          <w:spacing w:val="-21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integrated</w:t>
      </w:r>
      <w:r>
        <w:rPr>
          <w:rFonts w:ascii="Palatino Linotype" w:hAnsi="Palatino Linotype"/>
          <w:i/>
          <w:color w:val="231F20"/>
          <w:spacing w:val="-1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tax</w:t>
      </w:r>
      <w:r>
        <w:rPr>
          <w:rFonts w:ascii="Palatino Linotype" w:hAnsi="Palatino Linotype"/>
          <w:i/>
          <w:color w:val="231F20"/>
          <w:spacing w:val="-14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and</w:t>
      </w:r>
      <w:r>
        <w:rPr>
          <w:rFonts w:ascii="Palatino Linotype" w:hAnsi="Palatino Linotype"/>
          <w:i/>
          <w:color w:val="231F20"/>
          <w:spacing w:val="-15"/>
          <w:sz w:val="26"/>
        </w:rPr>
        <w:t xml:space="preserve"> </w:t>
      </w:r>
      <w:r>
        <w:rPr>
          <w:rFonts w:ascii="Palatino Linotype" w:hAnsi="Palatino Linotype"/>
          <w:i/>
          <w:color w:val="231F20"/>
          <w:sz w:val="26"/>
        </w:rPr>
        <w:t>cess.</w:t>
      </w:r>
    </w:p>
    <w:p w:rsidR="00533F17" w:rsidRDefault="004C1D4B">
      <w:pPr>
        <w:pStyle w:val="BodyText"/>
        <w:spacing w:before="151"/>
        <w:ind w:left="137" w:right="116"/>
        <w:jc w:val="both"/>
      </w:pPr>
      <w:r>
        <w:rPr>
          <w:color w:val="231F20"/>
        </w:rPr>
        <w:t>The aggregate turnover is a crucial parameter for deciding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avail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exemption threshold of Rs. 20 Lakhs [Rs. 10 Lakhs in case of special category States except J &amp; K] and for determining the threshold limit for composition </w:t>
      </w:r>
      <w:r>
        <w:rPr>
          <w:color w:val="231F20"/>
          <w:spacing w:val="-5"/>
        </w:rPr>
        <w:t xml:space="preserve">levy. </w:t>
      </w:r>
      <w:r>
        <w:rPr>
          <w:color w:val="231F20"/>
        </w:rPr>
        <w:t>Let us dissect the definition in small parts to understand the meaning clearly. There are certa</w:t>
      </w:r>
      <w:r>
        <w:rPr>
          <w:color w:val="231F20"/>
        </w:rPr>
        <w:t>in terms used in the definition which need a bit 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elaboration.</w:t>
      </w:r>
    </w:p>
    <w:p w:rsidR="00533F17" w:rsidRDefault="004C1D4B">
      <w:pPr>
        <w:pStyle w:val="BodyText"/>
        <w:spacing w:before="178"/>
        <w:ind w:left="137"/>
        <w:jc w:val="both"/>
      </w:pPr>
      <w:r>
        <w:rPr>
          <w:color w:val="231F20"/>
        </w:rPr>
        <w:t>It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inward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</w:p>
    <w:p w:rsidR="00533F17" w:rsidRDefault="00533F17">
      <w:pPr>
        <w:jc w:val="both"/>
        <w:sectPr w:rsidR="00533F17" w:rsidSect="007A1494">
          <w:footerReference w:type="default" r:id="rId6"/>
          <w:type w:val="continuous"/>
          <w:pgSz w:w="8280" w:h="11880"/>
          <w:pgMar w:top="1100" w:right="940" w:bottom="800" w:left="940" w:header="720" w:footer="616" w:gutter="0"/>
          <w:pgNumType w:start="1"/>
          <w:cols w:space="720"/>
        </w:sectPr>
      </w:pPr>
    </w:p>
    <w:p w:rsidR="00533F17" w:rsidRDefault="00533F17">
      <w:pPr>
        <w:tabs>
          <w:tab w:val="left" w:pos="6259"/>
        </w:tabs>
        <w:spacing w:before="56"/>
        <w:ind w:left="111"/>
        <w:jc w:val="both"/>
        <w:rPr>
          <w:rFonts w:ascii="Palatino Linotype"/>
          <w:sz w:val="24"/>
        </w:rPr>
      </w:pPr>
      <w:r w:rsidRPr="00533F17">
        <w:lastRenderedPageBreak/>
        <w:pict>
          <v:line id="_x0000_s2050" style="position:absolute;left:0;text-align:left;z-index:-251658752;mso-wrap-distance-left:0;mso-wrap-distance-right:0;mso-position-horizontal-relative:page" from="53.7pt,21.3pt" to="5in,21.3pt" strokecolor="#231f20" strokeweight=".5pt">
            <w10:wrap type="topAndBottom" anchorx="page"/>
          </v:line>
        </w:pict>
      </w:r>
      <w:r w:rsidR="004C1D4B">
        <w:rPr>
          <w:rFonts w:ascii="Palatino Linotype"/>
          <w:color w:val="231F20"/>
          <w:w w:val="95"/>
          <w:sz w:val="24"/>
          <w:u w:val="single" w:color="231F20"/>
        </w:rPr>
        <w:t>GST</w:t>
      </w:r>
      <w:r w:rsidR="004C1D4B">
        <w:rPr>
          <w:rFonts w:ascii="Palatino Linotype"/>
          <w:color w:val="231F20"/>
          <w:spacing w:val="-26"/>
          <w:w w:val="95"/>
          <w:sz w:val="24"/>
          <w:u w:val="single" w:color="231F20"/>
        </w:rPr>
        <w:t xml:space="preserve"> </w:t>
      </w:r>
      <w:r w:rsidR="004C1D4B">
        <w:rPr>
          <w:rFonts w:ascii="Palatino Linotype"/>
          <w:color w:val="231F20"/>
          <w:spacing w:val="-3"/>
          <w:w w:val="95"/>
          <w:sz w:val="24"/>
          <w:u w:val="single" w:color="231F20"/>
        </w:rPr>
        <w:t>FLYERS</w:t>
      </w:r>
      <w:r w:rsidR="004C1D4B">
        <w:rPr>
          <w:rFonts w:ascii="Palatino Linotype"/>
          <w:color w:val="231F20"/>
          <w:spacing w:val="-3"/>
          <w:sz w:val="24"/>
          <w:u w:val="single" w:color="231F20"/>
        </w:rPr>
        <w:tab/>
      </w:r>
    </w:p>
    <w:p w:rsidR="00533F17" w:rsidRDefault="00533F17">
      <w:pPr>
        <w:pStyle w:val="BodyText"/>
        <w:spacing w:before="1"/>
        <w:rPr>
          <w:rFonts w:ascii="Palatino Linotype"/>
          <w:sz w:val="23"/>
        </w:rPr>
      </w:pPr>
    </w:p>
    <w:p w:rsidR="00533F17" w:rsidRDefault="004C1D4B">
      <w:pPr>
        <w:pStyle w:val="BodyText"/>
        <w:ind w:left="137" w:right="116"/>
        <w:jc w:val="both"/>
      </w:pPr>
      <w:r>
        <w:rPr>
          <w:color w:val="231F20"/>
        </w:rPr>
        <w:t xml:space="preserve">recipient is required to pay tax under Reverse Charge Mechanism (RCM) does not form part of the ‘aggregate turnover’. The law stipulates certain supplies like, Goods </w:t>
      </w:r>
      <w:r>
        <w:rPr>
          <w:color w:val="231F20"/>
          <w:spacing w:val="-3"/>
        </w:rPr>
        <w:t xml:space="preserve">Transport </w:t>
      </w:r>
      <w:r>
        <w:rPr>
          <w:color w:val="231F20"/>
        </w:rPr>
        <w:t xml:space="preserve">Agency services, services received </w:t>
      </w:r>
      <w:r>
        <w:rPr>
          <w:color w:val="231F20"/>
          <w:spacing w:val="2"/>
        </w:rPr>
        <w:t xml:space="preserve">from </w:t>
      </w:r>
      <w:r>
        <w:rPr>
          <w:color w:val="231F20"/>
        </w:rPr>
        <w:t>outside India,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few,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 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tax.The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paid, 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‘aggregate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turnover’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recipient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supplies.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 continue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‘aggregate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turnover’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supplier of 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supplies.</w:t>
      </w:r>
    </w:p>
    <w:p w:rsidR="00533F17" w:rsidRDefault="004C1D4B">
      <w:pPr>
        <w:pStyle w:val="BodyText"/>
        <w:spacing w:before="181"/>
        <w:ind w:left="137" w:right="134"/>
        <w:jc w:val="both"/>
      </w:pPr>
      <w:r>
        <w:rPr>
          <w:color w:val="231F20"/>
        </w:rPr>
        <w:t>The second element of value which would not be included 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‘aggregate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turnover’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tax,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state </w:t>
      </w:r>
      <w:r>
        <w:rPr>
          <w:color w:val="231F20"/>
        </w:rPr>
        <w:t>tax,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compensation cess.</w:t>
      </w:r>
    </w:p>
    <w:p w:rsidR="00533F17" w:rsidRDefault="004C1D4B">
      <w:pPr>
        <w:pStyle w:val="BodyText"/>
        <w:spacing w:before="174"/>
        <w:ind w:left="137" w:right="134"/>
        <w:jc w:val="both"/>
      </w:pPr>
      <w:r>
        <w:rPr>
          <w:color w:val="231F20"/>
        </w:rPr>
        <w:t xml:space="preserve">The value of exported goods/services, exempted </w:t>
      </w:r>
      <w:r>
        <w:rPr>
          <w:color w:val="231F20"/>
          <w:spacing w:val="-4"/>
        </w:rPr>
        <w:t xml:space="preserve">goods/ </w:t>
      </w:r>
      <w:r>
        <w:rPr>
          <w:color w:val="231F20"/>
        </w:rPr>
        <w:t xml:space="preserve">services, inter-state supplies between distinct </w:t>
      </w:r>
      <w:r>
        <w:rPr>
          <w:color w:val="231F20"/>
          <w:spacing w:val="-3"/>
        </w:rPr>
        <w:t xml:space="preserve">persons </w:t>
      </w:r>
      <w:r>
        <w:rPr>
          <w:color w:val="231F20"/>
        </w:rPr>
        <w:t>having same</w:t>
      </w:r>
      <w:r>
        <w:rPr>
          <w:color w:val="231F20"/>
          <w:spacing w:val="-7"/>
        </w:rPr>
        <w:t xml:space="preserve"> PAN </w:t>
      </w:r>
      <w:r>
        <w:rPr>
          <w:color w:val="231F20"/>
        </w:rPr>
        <w:t>would be added to ‘aggregate turnover’.</w:t>
      </w:r>
    </w:p>
    <w:p w:rsidR="00533F17" w:rsidRDefault="004C1D4B">
      <w:pPr>
        <w:pStyle w:val="BodyText"/>
        <w:spacing w:before="173"/>
        <w:ind w:left="137" w:right="134"/>
        <w:jc w:val="both"/>
      </w:pPr>
      <w:r>
        <w:rPr>
          <w:color w:val="231F20"/>
        </w:rPr>
        <w:t xml:space="preserve">Last but not the least, such turnover is to be calculated by taking together the value in </w:t>
      </w:r>
      <w:r>
        <w:rPr>
          <w:color w:val="231F20"/>
        </w:rPr>
        <w:t>respect of the activities carried out on all-India basis.</w:t>
      </w:r>
    </w:p>
    <w:p w:rsidR="00533F17" w:rsidRDefault="004C1D4B">
      <w:pPr>
        <w:pStyle w:val="BodyText"/>
        <w:spacing w:before="173"/>
        <w:ind w:left="137" w:right="117"/>
        <w:jc w:val="both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aggregate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turnover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turnover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State. The former is used for determining the threshold limit for registration as well as eligibility for Composition Scheme.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>the comp</w:t>
      </w:r>
      <w:r>
        <w:rPr>
          <w:color w:val="231F20"/>
        </w:rPr>
        <w:t>osition levy would be calculated on the basis of turnover in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State.</w:t>
      </w:r>
    </w:p>
    <w:p w:rsidR="00533F17" w:rsidRDefault="00533F17">
      <w:pPr>
        <w:pStyle w:val="BodyText"/>
        <w:spacing w:before="6"/>
        <w:rPr>
          <w:sz w:val="42"/>
        </w:rPr>
      </w:pPr>
    </w:p>
    <w:p w:rsidR="00533F17" w:rsidRDefault="004C1D4B">
      <w:pPr>
        <w:ind w:left="1029" w:right="1055"/>
        <w:jc w:val="center"/>
        <w:rPr>
          <w:sz w:val="24"/>
        </w:rPr>
      </w:pPr>
      <w:r>
        <w:rPr>
          <w:color w:val="231F20"/>
          <w:w w:val="75"/>
          <w:sz w:val="24"/>
        </w:rPr>
        <w:t>******</w:t>
      </w:r>
    </w:p>
    <w:sectPr w:rsidR="00533F17" w:rsidSect="00533F17">
      <w:pgSz w:w="8280" w:h="11880"/>
      <w:pgMar w:top="480" w:right="940" w:bottom="800" w:left="940" w:header="0" w:footer="6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4B" w:rsidRDefault="004C1D4B" w:rsidP="00533F17">
      <w:r>
        <w:separator/>
      </w:r>
    </w:p>
  </w:endnote>
  <w:endnote w:type="continuationSeparator" w:id="1">
    <w:p w:rsidR="004C1D4B" w:rsidRDefault="004C1D4B" w:rsidP="0053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17" w:rsidRDefault="00533F17">
    <w:pPr>
      <w:pStyle w:val="BodyText"/>
      <w:spacing w:line="14" w:lineRule="auto"/>
      <w:rPr>
        <w:sz w:val="20"/>
      </w:rPr>
    </w:pPr>
    <w:r w:rsidRPr="00533F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0pt;margin-top:552.2pt;width:14pt;height:13.1pt;z-index:-251658752;mso-position-horizontal-relative:page;mso-position-vertical-relative:page" filled="f" stroked="f">
          <v:textbox inset="0,0,0,0">
            <w:txbxContent>
              <w:p w:rsidR="00533F17" w:rsidRDefault="00533F17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C1D4B"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1494">
                  <w:rPr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4B" w:rsidRDefault="004C1D4B" w:rsidP="00533F17">
      <w:r>
        <w:separator/>
      </w:r>
    </w:p>
  </w:footnote>
  <w:footnote w:type="continuationSeparator" w:id="1">
    <w:p w:rsidR="004C1D4B" w:rsidRDefault="004C1D4B" w:rsidP="00533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3F17"/>
    <w:rsid w:val="004C1D4B"/>
    <w:rsid w:val="00533F17"/>
    <w:rsid w:val="007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F1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3F17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533F17"/>
  </w:style>
  <w:style w:type="paragraph" w:customStyle="1" w:styleId="TableParagraph">
    <w:name w:val="Table Paragraph"/>
    <w:basedOn w:val="Normal"/>
    <w:uiPriority w:val="1"/>
    <w:qFormat/>
    <w:rsid w:val="00533F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2019-05-15T11:27:00Z</dcterms:created>
  <dcterms:modified xsi:type="dcterms:W3CDTF">2019-05-15T12:09:00Z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2018-05-11T00:00:00Z</vt:filetime>
  </property>
</Properties>
</file>