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F3" w:rsidRPr="003D46F3" w:rsidRDefault="003D46F3" w:rsidP="00FE24A0">
      <w:pPr>
        <w:jc w:val="center"/>
        <w:rPr>
          <w:b/>
          <w:u w:val="single"/>
          <w:lang w:bidi="en-US"/>
        </w:rPr>
      </w:pPr>
      <w:r w:rsidRPr="003D46F3">
        <w:rPr>
          <w:b/>
          <w:u w:val="single"/>
          <w:lang w:bidi="en-US"/>
        </w:rPr>
        <w:t xml:space="preserve">Gems &amp; </w:t>
      </w:r>
      <w:proofErr w:type="spellStart"/>
      <w:r w:rsidRPr="003D46F3">
        <w:rPr>
          <w:b/>
          <w:u w:val="single"/>
          <w:lang w:bidi="en-US"/>
        </w:rPr>
        <w:t>Jewelery</w:t>
      </w:r>
      <w:proofErr w:type="spellEnd"/>
    </w:p>
    <w:p w:rsidR="003D46F3" w:rsidRPr="003D46F3" w:rsidRDefault="003D46F3" w:rsidP="003D46F3">
      <w:pPr>
        <w:jc w:val="both"/>
        <w:rPr>
          <w:lang w:bidi="en-US"/>
        </w:rPr>
      </w:pPr>
      <w:r w:rsidRPr="003D46F3">
        <w:rPr>
          <w:b/>
          <w:lang w:bidi="en-US"/>
        </w:rPr>
        <w:t>Question 1</w:t>
      </w:r>
      <w:r w:rsidRPr="003D46F3">
        <w:rPr>
          <w:lang w:bidi="en-US"/>
        </w:rPr>
        <w:t>: Whether advertising and communication material (banners/hoardings/posters) provided to distributors would be treated as supply in the course of business by the company thereby not requiring any reversal of ITC.</w:t>
      </w:r>
    </w:p>
    <w:p w:rsidR="003D46F3" w:rsidRPr="003D46F3" w:rsidRDefault="003D46F3" w:rsidP="003D46F3">
      <w:pPr>
        <w:jc w:val="both"/>
        <w:rPr>
          <w:b/>
          <w:lang w:bidi="en-US"/>
        </w:rPr>
      </w:pPr>
      <w:r w:rsidRPr="003D46F3">
        <w:rPr>
          <w:b/>
          <w:lang w:bidi="en-US"/>
        </w:rPr>
        <w:t>Answer:</w:t>
      </w:r>
    </w:p>
    <w:p w:rsidR="003D46F3" w:rsidRDefault="003D46F3" w:rsidP="003D46F3">
      <w:pPr>
        <w:jc w:val="both"/>
        <w:rPr>
          <w:lang w:bidi="en-US"/>
        </w:rPr>
      </w:pPr>
      <w:r w:rsidRPr="003D46F3">
        <w:rPr>
          <w:lang w:bidi="en-US"/>
        </w:rPr>
        <w:t>Where the material is provided free of cost:</w:t>
      </w:r>
    </w:p>
    <w:p w:rsidR="003D46F3" w:rsidRDefault="003D46F3" w:rsidP="003D46F3">
      <w:pPr>
        <w:numPr>
          <w:ilvl w:val="0"/>
          <w:numId w:val="1"/>
        </w:numPr>
        <w:tabs>
          <w:tab w:val="left" w:pos="1080"/>
        </w:tabs>
        <w:ind w:left="630" w:firstLine="90"/>
        <w:jc w:val="both"/>
        <w:rPr>
          <w:lang w:bidi="en-US"/>
        </w:rPr>
      </w:pPr>
      <w:r w:rsidRPr="003D46F3">
        <w:rPr>
          <w:lang w:bidi="en-US"/>
        </w:rPr>
        <w:t>Where the material is provided for a consideration: This would amount to a normal supply.</w:t>
      </w:r>
    </w:p>
    <w:p w:rsidR="003D46F3" w:rsidRDefault="003D46F3" w:rsidP="003D46F3">
      <w:pPr>
        <w:pStyle w:val="ListParagraph"/>
        <w:numPr>
          <w:ilvl w:val="0"/>
          <w:numId w:val="1"/>
        </w:numPr>
        <w:spacing w:line="232" w:lineRule="auto"/>
        <w:ind w:left="990" w:right="1017" w:firstLine="4950"/>
        <w:jc w:val="both"/>
        <w:rPr>
          <w:sz w:val="18"/>
        </w:rPr>
      </w:pPr>
      <w:r>
        <w:rPr>
          <w:color w:val="231F20"/>
          <w:sz w:val="18"/>
        </w:rPr>
        <w:t>Where</w:t>
      </w:r>
      <w:r>
        <w:rPr>
          <w:color w:val="231F20"/>
          <w:spacing w:val="-8"/>
          <w:sz w:val="18"/>
        </w:rPr>
        <w:t xml:space="preserve"> </w:t>
      </w:r>
      <w:r>
        <w:rPr>
          <w:color w:val="231F20"/>
          <w:sz w:val="18"/>
        </w:rPr>
        <w:t>the</w:t>
      </w:r>
      <w:r>
        <w:rPr>
          <w:color w:val="231F20"/>
          <w:spacing w:val="-7"/>
          <w:sz w:val="18"/>
        </w:rPr>
        <w:t xml:space="preserve"> </w:t>
      </w:r>
      <w:r>
        <w:rPr>
          <w:color w:val="231F20"/>
          <w:sz w:val="18"/>
        </w:rPr>
        <w:t>material</w:t>
      </w:r>
      <w:r>
        <w:rPr>
          <w:color w:val="231F20"/>
          <w:spacing w:val="-7"/>
          <w:sz w:val="18"/>
        </w:rPr>
        <w:t xml:space="preserve"> </w:t>
      </w:r>
      <w:r>
        <w:rPr>
          <w:color w:val="231F20"/>
          <w:sz w:val="18"/>
        </w:rPr>
        <w:t>is</w:t>
      </w:r>
      <w:r>
        <w:rPr>
          <w:color w:val="231F20"/>
          <w:spacing w:val="-8"/>
          <w:sz w:val="18"/>
        </w:rPr>
        <w:t xml:space="preserve"> </w:t>
      </w:r>
      <w:r>
        <w:rPr>
          <w:color w:val="231F20"/>
          <w:sz w:val="18"/>
        </w:rPr>
        <w:t>provided</w:t>
      </w:r>
      <w:r>
        <w:rPr>
          <w:color w:val="231F20"/>
          <w:spacing w:val="-7"/>
          <w:sz w:val="18"/>
        </w:rPr>
        <w:t xml:space="preserve"> </w:t>
      </w:r>
      <w:r>
        <w:rPr>
          <w:color w:val="231F20"/>
          <w:sz w:val="18"/>
        </w:rPr>
        <w:t>for</w:t>
      </w:r>
      <w:r>
        <w:rPr>
          <w:color w:val="231F20"/>
          <w:spacing w:val="-7"/>
          <w:sz w:val="18"/>
        </w:rPr>
        <w:t xml:space="preserve"> </w:t>
      </w:r>
      <w:r>
        <w:rPr>
          <w:color w:val="231F20"/>
          <w:sz w:val="18"/>
        </w:rPr>
        <w:t>a</w:t>
      </w:r>
      <w:r>
        <w:rPr>
          <w:color w:val="231F20"/>
          <w:spacing w:val="-8"/>
          <w:sz w:val="18"/>
        </w:rPr>
        <w:t xml:space="preserve"> </w:t>
      </w:r>
      <w:r>
        <w:rPr>
          <w:color w:val="231F20"/>
          <w:sz w:val="18"/>
        </w:rPr>
        <w:t>consideration: This would amount to a normal</w:t>
      </w:r>
      <w:r>
        <w:rPr>
          <w:color w:val="231F20"/>
          <w:spacing w:val="-14"/>
          <w:sz w:val="18"/>
        </w:rPr>
        <w:t xml:space="preserve"> </w:t>
      </w:r>
      <w:r>
        <w:rPr>
          <w:color w:val="231F20"/>
          <w:sz w:val="18"/>
        </w:rPr>
        <w:t>supply.</w:t>
      </w:r>
    </w:p>
    <w:p w:rsidR="003D46F3" w:rsidRPr="003D46F3" w:rsidRDefault="003D46F3" w:rsidP="003D46F3">
      <w:pPr>
        <w:jc w:val="both"/>
        <w:rPr>
          <w:lang w:bidi="en-US"/>
        </w:rPr>
      </w:pPr>
    </w:p>
    <w:p w:rsidR="003D46F3" w:rsidRPr="003D46F3" w:rsidRDefault="003D46F3" w:rsidP="003D46F3">
      <w:pPr>
        <w:jc w:val="both"/>
        <w:rPr>
          <w:lang w:bidi="en-US"/>
        </w:rPr>
      </w:pPr>
      <w:r w:rsidRPr="003D46F3">
        <w:rPr>
          <w:lang w:bidi="en-US"/>
        </w:rPr>
        <w:t>This would not amount to a supply and hence no tax is payable  on  such  transaction  and  in  such  a  case  credit availed  by  the  company  would  need  to  be  reversed  in accordance with section 17(5) of the CGST Act, 2017.</w:t>
      </w:r>
    </w:p>
    <w:p w:rsidR="003D46F3" w:rsidRPr="003D46F3" w:rsidRDefault="003D46F3" w:rsidP="003D46F3">
      <w:pPr>
        <w:ind w:left="270" w:hanging="270"/>
        <w:jc w:val="both"/>
        <w:rPr>
          <w:lang w:bidi="en-US"/>
        </w:rPr>
      </w:pPr>
      <w:r w:rsidRPr="003D46F3">
        <w:rPr>
          <w:b/>
          <w:lang w:bidi="en-US"/>
        </w:rPr>
        <w:t xml:space="preserve">Question 2: </w:t>
      </w:r>
      <w:r w:rsidRPr="003D46F3">
        <w:rPr>
          <w:lang w:bidi="en-US"/>
        </w:rPr>
        <w:t>Currently Banks do not pay any VAT on import of precious metals. Banks/nominated agencies pay only customs duty on imports. In the new regime of GST, will the Banks have to pay IGST while importing?</w:t>
      </w:r>
    </w:p>
    <w:p w:rsidR="003D46F3" w:rsidRDefault="003D46F3" w:rsidP="003D46F3">
      <w:pPr>
        <w:jc w:val="both"/>
        <w:rPr>
          <w:lang w:bidi="en-US"/>
        </w:rPr>
      </w:pPr>
      <w:r w:rsidRPr="003D46F3">
        <w:rPr>
          <w:b/>
          <w:lang w:bidi="en-US"/>
        </w:rPr>
        <w:t xml:space="preserve">Answer: </w:t>
      </w:r>
      <w:r w:rsidRPr="003D46F3">
        <w:rPr>
          <w:lang w:bidi="en-US"/>
        </w:rPr>
        <w:t>Yes, 3% IGST is payable on all imports of precious metals in addition to the basic customs duty. IGST paid can be taken as input tax credit by the banks.</w:t>
      </w:r>
    </w:p>
    <w:p w:rsidR="003D46F3" w:rsidRPr="003D46F3" w:rsidRDefault="003D46F3" w:rsidP="003D46F3">
      <w:pPr>
        <w:jc w:val="both"/>
        <w:rPr>
          <w:lang w:bidi="en-US"/>
        </w:rPr>
      </w:pPr>
      <w:r w:rsidRPr="003D46F3">
        <w:rPr>
          <w:b/>
          <w:lang w:bidi="en-US"/>
        </w:rPr>
        <w:t xml:space="preserve">Question 3: </w:t>
      </w:r>
      <w:r w:rsidRPr="003D46F3">
        <w:rPr>
          <w:lang w:bidi="en-US"/>
        </w:rPr>
        <w:t>Banks import gold / silver on consignment basis wherein the ownership of the metal is with the supplier of the bullion which maybe an overseas entity. Is the overseas entity required to have GST registration because currently they do not file returns and are governed by multi-nation treaties?</w:t>
      </w:r>
    </w:p>
    <w:p w:rsidR="003D46F3" w:rsidRDefault="003D46F3" w:rsidP="003D46F3">
      <w:pPr>
        <w:jc w:val="both"/>
        <w:rPr>
          <w:lang w:bidi="en-US"/>
        </w:rPr>
      </w:pPr>
      <w:r w:rsidRPr="003D46F3">
        <w:rPr>
          <w:b/>
          <w:lang w:bidi="en-US"/>
        </w:rPr>
        <w:t xml:space="preserve">Answer:  </w:t>
      </w:r>
      <w:r w:rsidRPr="003D46F3">
        <w:rPr>
          <w:lang w:bidi="en-US"/>
        </w:rPr>
        <w:t>This  amounts  to  an  import  in  accordance  with the  definition  of  the  word  “import”  in  the  IGST  Act,  2017 which provides that “bringing into India of any goods from any place outside India” is an import of the goods. What is material  in  this  definition  is  the  mere  act  of  bringing  into India; the ownership is not material for determining whether an import has taken place. Banks, being registered entities, would  be  liable  to  pay  IGST  on  such  imports  but  not  the overseas entities since they are not effecting the import.</w:t>
      </w:r>
    </w:p>
    <w:p w:rsidR="003D46F3" w:rsidRPr="003D46F3" w:rsidRDefault="003D46F3" w:rsidP="003D46F3">
      <w:pPr>
        <w:jc w:val="both"/>
        <w:rPr>
          <w:lang w:bidi="en-US"/>
        </w:rPr>
      </w:pPr>
      <w:r w:rsidRPr="003D46F3">
        <w:rPr>
          <w:b/>
          <w:lang w:bidi="en-US"/>
        </w:rPr>
        <w:lastRenderedPageBreak/>
        <w:t xml:space="preserve">Question 4: </w:t>
      </w:r>
      <w:r w:rsidRPr="003D46F3">
        <w:rPr>
          <w:lang w:bidi="en-US"/>
        </w:rPr>
        <w:t>Gold and silver imported by banks/nominated agencies on consignment basis are lying in stock as on 1st July. Clarification is required on how to charge the customers in transition phase from VAT to GST. Will customers be liable to pay GST rates?</w:t>
      </w:r>
    </w:p>
    <w:p w:rsidR="003D46F3" w:rsidRPr="003D46F3" w:rsidRDefault="003D46F3" w:rsidP="003D46F3">
      <w:pPr>
        <w:jc w:val="both"/>
        <w:rPr>
          <w:lang w:bidi="en-US"/>
        </w:rPr>
      </w:pPr>
      <w:r w:rsidRPr="003D46F3">
        <w:rPr>
          <w:b/>
          <w:lang w:bidi="en-US"/>
        </w:rPr>
        <w:t xml:space="preserve">Answer:  </w:t>
      </w:r>
      <w:r w:rsidRPr="003D46F3">
        <w:rPr>
          <w:lang w:bidi="en-US"/>
        </w:rPr>
        <w:t>GST is payable @ 3% with effect from 01.07.2017.</w:t>
      </w:r>
    </w:p>
    <w:p w:rsidR="003D46F3" w:rsidRPr="003D46F3" w:rsidRDefault="003D46F3" w:rsidP="003D46F3">
      <w:pPr>
        <w:jc w:val="both"/>
        <w:rPr>
          <w:lang w:bidi="en-US"/>
        </w:rPr>
      </w:pPr>
      <w:r w:rsidRPr="003D46F3">
        <w:rPr>
          <w:b/>
          <w:lang w:bidi="en-US"/>
        </w:rPr>
        <w:t xml:space="preserve">Question 5:   </w:t>
      </w:r>
      <w:proofErr w:type="gramStart"/>
      <w:r w:rsidRPr="003D46F3">
        <w:rPr>
          <w:lang w:bidi="en-US"/>
        </w:rPr>
        <w:t>Banks  lend</w:t>
      </w:r>
      <w:proofErr w:type="gramEnd"/>
      <w:r w:rsidRPr="003D46F3">
        <w:rPr>
          <w:lang w:bidi="en-US"/>
        </w:rPr>
        <w:t xml:space="preserve">  gold  in  physical  form  for  a  period not exceeding 6 months. Banks receive interest on the gold </w:t>
      </w:r>
      <w:proofErr w:type="gramStart"/>
      <w:r w:rsidRPr="003D46F3">
        <w:rPr>
          <w:lang w:bidi="en-US"/>
        </w:rPr>
        <w:t>ounces  disbursed</w:t>
      </w:r>
      <w:proofErr w:type="gramEnd"/>
      <w:r w:rsidRPr="003D46F3">
        <w:rPr>
          <w:lang w:bidi="en-US"/>
        </w:rPr>
        <w:t xml:space="preserve">  and  the  same  is  converted  into  Rupees after calculation of interest on the ounces and the USD/INR conversion. Will the same methodology continue in case of GST  as  well  wherein  Banks  shall  pay  a  provisional  GST  (i.e. IGST/SGST/CGST) on ongoing market prices and pay the final GST as and when the prices are fixed?</w:t>
      </w:r>
    </w:p>
    <w:p w:rsidR="003D46F3" w:rsidRPr="003D46F3" w:rsidRDefault="003D46F3" w:rsidP="003D46F3">
      <w:pPr>
        <w:jc w:val="both"/>
        <w:rPr>
          <w:lang w:bidi="en-US"/>
        </w:rPr>
      </w:pPr>
      <w:r w:rsidRPr="003D46F3">
        <w:rPr>
          <w:b/>
          <w:lang w:bidi="en-US"/>
        </w:rPr>
        <w:t xml:space="preserve">Answer:  </w:t>
      </w:r>
      <w:r w:rsidRPr="003D46F3">
        <w:rPr>
          <w:lang w:bidi="en-US"/>
        </w:rPr>
        <w:t>Yes, Banks may avail of the benefit of provisional</w:t>
      </w:r>
    </w:p>
    <w:p w:rsidR="003D46F3" w:rsidRPr="003D46F3" w:rsidRDefault="003D46F3" w:rsidP="003D46F3">
      <w:pPr>
        <w:jc w:val="both"/>
        <w:rPr>
          <w:lang w:bidi="en-US"/>
        </w:rPr>
      </w:pPr>
      <w:proofErr w:type="gramStart"/>
      <w:r w:rsidRPr="003D46F3">
        <w:rPr>
          <w:lang w:bidi="en-US"/>
        </w:rPr>
        <w:t>assessment</w:t>
      </w:r>
      <w:proofErr w:type="gramEnd"/>
      <w:r w:rsidRPr="003D46F3">
        <w:rPr>
          <w:lang w:bidi="en-US"/>
        </w:rPr>
        <w:t xml:space="preserve"> provided under section 60 of the CGST Act, 2017.</w:t>
      </w:r>
    </w:p>
    <w:p w:rsidR="003D46F3" w:rsidRPr="003D46F3" w:rsidRDefault="003D46F3" w:rsidP="003D46F3">
      <w:pPr>
        <w:jc w:val="both"/>
        <w:rPr>
          <w:lang w:bidi="en-US"/>
        </w:rPr>
      </w:pPr>
      <w:r w:rsidRPr="003D46F3">
        <w:rPr>
          <w:b/>
          <w:lang w:bidi="en-US"/>
        </w:rPr>
        <w:t xml:space="preserve">Question 6: </w:t>
      </w:r>
      <w:r w:rsidRPr="003D46F3">
        <w:rPr>
          <w:lang w:bidi="en-US"/>
        </w:rPr>
        <w:t xml:space="preserve">Banks pay provisional VAT currently at the time of delivery of gold on the basis of ongoing market prices. When customer fixes the price of metal, Banks pay actual VAT on the maturity date of the Gold Loan. Banks must be allowed to set-off the excess provisional GST paid to the government against future fixation of prices. In case of </w:t>
      </w:r>
      <w:proofErr w:type="spellStart"/>
      <w:r w:rsidRPr="003D46F3">
        <w:rPr>
          <w:lang w:bidi="en-US"/>
        </w:rPr>
        <w:t>excesspayment</w:t>
      </w:r>
      <w:proofErr w:type="spellEnd"/>
      <w:r w:rsidRPr="003D46F3">
        <w:rPr>
          <w:lang w:bidi="en-US"/>
        </w:rPr>
        <w:t>, the same should be refunded on Pan - India basis and not on the basis of States.</w:t>
      </w:r>
    </w:p>
    <w:p w:rsidR="003D46F3" w:rsidRPr="003D46F3" w:rsidRDefault="003D46F3" w:rsidP="003D46F3">
      <w:pPr>
        <w:jc w:val="both"/>
        <w:rPr>
          <w:lang w:bidi="en-US"/>
        </w:rPr>
      </w:pPr>
      <w:r w:rsidRPr="003D46F3">
        <w:rPr>
          <w:b/>
          <w:lang w:bidi="en-US"/>
        </w:rPr>
        <w:t xml:space="preserve">Answer:  </w:t>
      </w:r>
      <w:r w:rsidRPr="003D46F3">
        <w:rPr>
          <w:lang w:bidi="en-US"/>
        </w:rPr>
        <w:t xml:space="preserve">Banks  may  claim  refund  in  accordance  with  the provisions  of  section  54  of  the  CGST  Act,  2017.  </w:t>
      </w:r>
      <w:proofErr w:type="gramStart"/>
      <w:r w:rsidRPr="003D46F3">
        <w:rPr>
          <w:lang w:bidi="en-US"/>
        </w:rPr>
        <w:t>Interest  is</w:t>
      </w:r>
      <w:proofErr w:type="gramEnd"/>
      <w:r w:rsidRPr="003D46F3">
        <w:rPr>
          <w:lang w:bidi="en-US"/>
        </w:rPr>
        <w:t xml:space="preserve"> payable in such cases as provided in section 56 of the CGST Act, 2017. In this connection, section 60(5) of the CGST Act, 2017 may be referred to.</w:t>
      </w:r>
    </w:p>
    <w:p w:rsidR="003D46F3" w:rsidRPr="003D46F3" w:rsidRDefault="003D46F3" w:rsidP="003D46F3">
      <w:pPr>
        <w:jc w:val="both"/>
        <w:rPr>
          <w:lang w:bidi="en-US"/>
        </w:rPr>
      </w:pPr>
      <w:r w:rsidRPr="003D46F3">
        <w:rPr>
          <w:b/>
          <w:lang w:bidi="en-US"/>
        </w:rPr>
        <w:t xml:space="preserve">Question 7:   </w:t>
      </w:r>
      <w:r w:rsidRPr="003D46F3">
        <w:rPr>
          <w:lang w:bidi="en-US"/>
        </w:rPr>
        <w:t xml:space="preserve">When  we  are  selling  Gold,  Diamond  or  Silver </w:t>
      </w:r>
      <w:proofErr w:type="spellStart"/>
      <w:r w:rsidRPr="003D46F3">
        <w:rPr>
          <w:lang w:bidi="en-US"/>
        </w:rPr>
        <w:t>Jewellery</w:t>
      </w:r>
      <w:proofErr w:type="spellEnd"/>
      <w:r w:rsidRPr="003D46F3">
        <w:rPr>
          <w:lang w:bidi="en-US"/>
        </w:rPr>
        <w:t xml:space="preserve"> to the end consumer (Customer) like a Gold Chain weighing10gm  at  a  total  value  of  Rs.  30,000/</w:t>
      </w:r>
      <w:proofErr w:type="gramStart"/>
      <w:r w:rsidRPr="003D46F3">
        <w:rPr>
          <w:lang w:bidi="en-US"/>
        </w:rPr>
        <w:t>-  (</w:t>
      </w:r>
      <w:proofErr w:type="gramEnd"/>
      <w:r w:rsidRPr="003D46F3">
        <w:rPr>
          <w:lang w:bidi="en-US"/>
        </w:rPr>
        <w:t>gold  value is  Rs.  28000/</w:t>
      </w:r>
      <w:proofErr w:type="gramStart"/>
      <w:r w:rsidRPr="003D46F3">
        <w:rPr>
          <w:lang w:bidi="en-US"/>
        </w:rPr>
        <w:t>-  and</w:t>
      </w:r>
      <w:proofErr w:type="gramEnd"/>
      <w:r w:rsidRPr="003D46F3">
        <w:rPr>
          <w:lang w:bidi="en-US"/>
        </w:rPr>
        <w:t xml:space="preserve">  making  charges  on  that  gold  chain  is  Rs 2000/-), can we charge GST @3% on the total value or @3% on the gold value and @5% on making charges?</w:t>
      </w:r>
    </w:p>
    <w:p w:rsidR="003D46F3" w:rsidRPr="003D46F3" w:rsidRDefault="003D46F3" w:rsidP="003D46F3">
      <w:pPr>
        <w:jc w:val="both"/>
        <w:rPr>
          <w:lang w:bidi="en-US"/>
        </w:rPr>
      </w:pPr>
      <w:r w:rsidRPr="003D46F3">
        <w:rPr>
          <w:b/>
          <w:lang w:bidi="en-US"/>
        </w:rPr>
        <w:t xml:space="preserve">Answer: </w:t>
      </w:r>
      <w:r w:rsidRPr="003D46F3">
        <w:rPr>
          <w:lang w:bidi="en-US"/>
        </w:rPr>
        <w:t xml:space="preserve">GST is payable at the rate of 3% of the total transaction value of </w:t>
      </w:r>
      <w:proofErr w:type="spellStart"/>
      <w:r w:rsidRPr="003D46F3">
        <w:rPr>
          <w:lang w:bidi="en-US"/>
        </w:rPr>
        <w:t>jewellery</w:t>
      </w:r>
      <w:proofErr w:type="spellEnd"/>
      <w:r w:rsidRPr="003D46F3">
        <w:rPr>
          <w:lang w:bidi="en-US"/>
        </w:rPr>
        <w:t>, whether the making charge is shown separately or not.</w:t>
      </w:r>
    </w:p>
    <w:p w:rsidR="003D46F3" w:rsidRPr="003D46F3" w:rsidRDefault="003D46F3" w:rsidP="003D46F3">
      <w:pPr>
        <w:jc w:val="both"/>
        <w:rPr>
          <w:lang w:bidi="en-US"/>
        </w:rPr>
      </w:pPr>
      <w:r w:rsidRPr="003D46F3">
        <w:rPr>
          <w:b/>
          <w:lang w:bidi="en-US"/>
        </w:rPr>
        <w:t xml:space="preserve">Question 8: </w:t>
      </w:r>
      <w:r w:rsidRPr="003D46F3">
        <w:rPr>
          <w:lang w:bidi="en-US"/>
        </w:rPr>
        <w:t xml:space="preserve">When we issue gold as raw material to our Job Worker for Job Work and he returns that gold as finished </w:t>
      </w:r>
      <w:proofErr w:type="spellStart"/>
      <w:r w:rsidRPr="003D46F3">
        <w:rPr>
          <w:lang w:bidi="en-US"/>
        </w:rPr>
        <w:t>goods,what</w:t>
      </w:r>
      <w:proofErr w:type="spellEnd"/>
      <w:r w:rsidRPr="003D46F3">
        <w:rPr>
          <w:lang w:bidi="en-US"/>
        </w:rPr>
        <w:t xml:space="preserve"> GST treatment will be done and how to calculate the value?</w:t>
      </w:r>
    </w:p>
    <w:p w:rsidR="003D46F3" w:rsidRPr="003D46F3" w:rsidRDefault="003D46F3" w:rsidP="003D46F3">
      <w:pPr>
        <w:jc w:val="both"/>
        <w:rPr>
          <w:lang w:bidi="en-US"/>
        </w:rPr>
      </w:pPr>
      <w:r w:rsidRPr="003D46F3">
        <w:rPr>
          <w:b/>
          <w:lang w:bidi="en-US"/>
        </w:rPr>
        <w:lastRenderedPageBreak/>
        <w:t xml:space="preserve">Answer:  </w:t>
      </w:r>
      <w:r w:rsidRPr="003D46F3">
        <w:rPr>
          <w:lang w:bidi="en-US"/>
        </w:rPr>
        <w:t xml:space="preserve">The job worker, if registered, would be required to pay GST at the rate of 5% on job charges only. The </w:t>
      </w:r>
      <w:proofErr w:type="spellStart"/>
      <w:r w:rsidRPr="003D46F3">
        <w:rPr>
          <w:lang w:bidi="en-US"/>
        </w:rPr>
        <w:t>jewellery</w:t>
      </w:r>
      <w:proofErr w:type="spellEnd"/>
      <w:r w:rsidRPr="003D46F3">
        <w:rPr>
          <w:lang w:bidi="en-US"/>
        </w:rPr>
        <w:t xml:space="preserve"> manufacturer would in turn take credit of GST paid on such job  work  and  may  utilize  the  same  for  payment  of  GST  on his  outward  supply  of  manufactured  </w:t>
      </w:r>
      <w:proofErr w:type="spellStart"/>
      <w:r w:rsidRPr="003D46F3">
        <w:rPr>
          <w:lang w:bidi="en-US"/>
        </w:rPr>
        <w:t>jewellery</w:t>
      </w:r>
      <w:proofErr w:type="spellEnd"/>
      <w:r w:rsidRPr="003D46F3">
        <w:rPr>
          <w:lang w:bidi="en-US"/>
        </w:rPr>
        <w:t xml:space="preserve">.  However,  if the job worker is exempted from registration, the </w:t>
      </w:r>
      <w:proofErr w:type="spellStart"/>
      <w:r w:rsidRPr="003D46F3">
        <w:rPr>
          <w:lang w:bidi="en-US"/>
        </w:rPr>
        <w:t>jewellery</w:t>
      </w:r>
      <w:proofErr w:type="spellEnd"/>
      <w:r w:rsidRPr="003D46F3">
        <w:rPr>
          <w:lang w:bidi="en-US"/>
        </w:rPr>
        <w:t xml:space="preserve"> manufacturer  would  be  required  to  pay  GST  on  his  input supply from the job worker [of </w:t>
      </w:r>
      <w:proofErr w:type="spellStart"/>
      <w:r w:rsidRPr="003D46F3">
        <w:rPr>
          <w:lang w:bidi="en-US"/>
        </w:rPr>
        <w:t>jewellery</w:t>
      </w:r>
      <w:proofErr w:type="spellEnd"/>
      <w:r w:rsidRPr="003D46F3">
        <w:rPr>
          <w:lang w:bidi="en-US"/>
        </w:rPr>
        <w:t xml:space="preserve"> made out of precious metal given by him] on reverse charge basis. Nonetheless, he would be eligible to avail input credit of the tax so paid under reverse charge mechanism.</w:t>
      </w:r>
    </w:p>
    <w:p w:rsidR="003D46F3" w:rsidRPr="003D46F3" w:rsidRDefault="003D46F3" w:rsidP="003D46F3">
      <w:pPr>
        <w:jc w:val="both"/>
        <w:rPr>
          <w:lang w:bidi="en-US"/>
        </w:rPr>
      </w:pPr>
    </w:p>
    <w:p w:rsidR="003D46F3" w:rsidRPr="003D46F3" w:rsidRDefault="003D46F3" w:rsidP="003D46F3">
      <w:pPr>
        <w:jc w:val="both"/>
        <w:rPr>
          <w:b/>
          <w:lang w:bidi="en-US"/>
        </w:rPr>
      </w:pPr>
      <w:r w:rsidRPr="003D46F3">
        <w:rPr>
          <w:b/>
          <w:lang w:bidi="en-US"/>
        </w:rPr>
        <w:t>Note: Reference to CGST Act, 2017 includes reference to SGST Act, 2017 and UTGST Act, 2017 also.</w:t>
      </w:r>
    </w:p>
    <w:p w:rsidR="003D46F3" w:rsidRPr="003D46F3" w:rsidRDefault="003D46F3" w:rsidP="003D46F3">
      <w:pPr>
        <w:jc w:val="both"/>
        <w:rPr>
          <w:lang w:bidi="en-US"/>
        </w:rPr>
        <w:sectPr w:rsidR="003D46F3" w:rsidRPr="003D46F3" w:rsidSect="00FE24A0">
          <w:pgSz w:w="11520" w:h="11810"/>
          <w:pgMar w:top="540" w:right="900" w:bottom="990" w:left="900" w:header="720" w:footer="720" w:gutter="0"/>
          <w:cols w:space="720"/>
        </w:sect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lang w:bidi="en-US"/>
        </w:rPr>
      </w:pPr>
    </w:p>
    <w:p w:rsidR="003D46F3" w:rsidRPr="003D46F3" w:rsidRDefault="003D46F3" w:rsidP="003D46F3">
      <w:pPr>
        <w:jc w:val="both"/>
        <w:rPr>
          <w:b/>
          <w:lang w:bidi="en-US"/>
        </w:rPr>
      </w:pPr>
      <w:r w:rsidRPr="003D46F3">
        <w:rPr>
          <w:b/>
          <w:lang w:bidi="en-US"/>
        </w:rPr>
        <w:t>4</w:t>
      </w:r>
    </w:p>
    <w:p w:rsidR="003D46F3" w:rsidRPr="003D46F3" w:rsidRDefault="003D46F3" w:rsidP="003D46F3">
      <w:pPr>
        <w:jc w:val="both"/>
        <w:rPr>
          <w:b/>
          <w:lang w:bidi="en-US"/>
        </w:rPr>
      </w:pPr>
    </w:p>
    <w:p w:rsidR="003D46F3" w:rsidRPr="003D46F3" w:rsidRDefault="003D46F3" w:rsidP="003D46F3">
      <w:pPr>
        <w:jc w:val="both"/>
        <w:rPr>
          <w:b/>
          <w:lang w:bidi="en-US"/>
        </w:rPr>
      </w:pPr>
      <w:r w:rsidRPr="003D46F3">
        <w:rPr>
          <w:b/>
          <w:lang w:bidi="en-US"/>
        </w:rPr>
        <w:t>Follow us on:</w:t>
      </w:r>
    </w:p>
    <w:p w:rsidR="003D46F3" w:rsidRPr="003D46F3" w:rsidRDefault="003D46F3" w:rsidP="003D46F3">
      <w:pPr>
        <w:jc w:val="both"/>
        <w:rPr>
          <w:lang w:bidi="en-US"/>
        </w:rPr>
      </w:pPr>
      <w:r w:rsidRPr="003D46F3">
        <w:rPr>
          <w:lang w:bidi="en-US"/>
        </w:rPr>
        <w:br w:type="column"/>
      </w:r>
    </w:p>
    <w:p w:rsidR="00665421" w:rsidRDefault="00665421" w:rsidP="003D46F3">
      <w:pPr>
        <w:jc w:val="both"/>
      </w:pPr>
    </w:p>
    <w:sectPr w:rsidR="00665421" w:rsidSect="00013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ndara">
    <w:altName w:val="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711A3"/>
    <w:multiLevelType w:val="hybridMultilevel"/>
    <w:tmpl w:val="96581F58"/>
    <w:lvl w:ilvl="0" w:tplc="B73AC55A">
      <w:start w:val="1"/>
      <w:numFmt w:val="lowerLetter"/>
      <w:lvlText w:val="(%1)"/>
      <w:lvlJc w:val="left"/>
      <w:pPr>
        <w:ind w:left="6389" w:hanging="360"/>
      </w:pPr>
      <w:rPr>
        <w:rFonts w:ascii="Candara" w:eastAsia="Candara" w:hAnsi="Candara" w:cs="Candara" w:hint="default"/>
        <w:color w:val="231F20"/>
        <w:w w:val="98"/>
        <w:sz w:val="18"/>
        <w:szCs w:val="18"/>
        <w:lang w:val="en-US" w:eastAsia="en-US" w:bidi="en-US"/>
      </w:rPr>
    </w:lvl>
    <w:lvl w:ilvl="1" w:tplc="9A58A71C">
      <w:numFmt w:val="bullet"/>
      <w:lvlText w:val="•"/>
      <w:lvlJc w:val="left"/>
      <w:pPr>
        <w:ind w:left="6864" w:hanging="360"/>
      </w:pPr>
      <w:rPr>
        <w:rFonts w:hint="default"/>
        <w:lang w:val="en-US" w:eastAsia="en-US" w:bidi="en-US"/>
      </w:rPr>
    </w:lvl>
    <w:lvl w:ilvl="2" w:tplc="73D41BF6">
      <w:numFmt w:val="bullet"/>
      <w:lvlText w:val="•"/>
      <w:lvlJc w:val="left"/>
      <w:pPr>
        <w:ind w:left="7348" w:hanging="360"/>
      </w:pPr>
      <w:rPr>
        <w:rFonts w:hint="default"/>
        <w:lang w:val="en-US" w:eastAsia="en-US" w:bidi="en-US"/>
      </w:rPr>
    </w:lvl>
    <w:lvl w:ilvl="3" w:tplc="1D34C142">
      <w:numFmt w:val="bullet"/>
      <w:lvlText w:val="•"/>
      <w:lvlJc w:val="left"/>
      <w:pPr>
        <w:ind w:left="7832" w:hanging="360"/>
      </w:pPr>
      <w:rPr>
        <w:rFonts w:hint="default"/>
        <w:lang w:val="en-US" w:eastAsia="en-US" w:bidi="en-US"/>
      </w:rPr>
    </w:lvl>
    <w:lvl w:ilvl="4" w:tplc="77461CC8">
      <w:numFmt w:val="bullet"/>
      <w:lvlText w:val="•"/>
      <w:lvlJc w:val="left"/>
      <w:pPr>
        <w:ind w:left="8316" w:hanging="360"/>
      </w:pPr>
      <w:rPr>
        <w:rFonts w:hint="default"/>
        <w:lang w:val="en-US" w:eastAsia="en-US" w:bidi="en-US"/>
      </w:rPr>
    </w:lvl>
    <w:lvl w:ilvl="5" w:tplc="7338B1A2">
      <w:numFmt w:val="bullet"/>
      <w:lvlText w:val="•"/>
      <w:lvlJc w:val="left"/>
      <w:pPr>
        <w:ind w:left="8800" w:hanging="360"/>
      </w:pPr>
      <w:rPr>
        <w:rFonts w:hint="default"/>
        <w:lang w:val="en-US" w:eastAsia="en-US" w:bidi="en-US"/>
      </w:rPr>
    </w:lvl>
    <w:lvl w:ilvl="6" w:tplc="0102FD3C">
      <w:numFmt w:val="bullet"/>
      <w:lvlText w:val="•"/>
      <w:lvlJc w:val="left"/>
      <w:pPr>
        <w:ind w:left="9284" w:hanging="360"/>
      </w:pPr>
      <w:rPr>
        <w:rFonts w:hint="default"/>
        <w:lang w:val="en-US" w:eastAsia="en-US" w:bidi="en-US"/>
      </w:rPr>
    </w:lvl>
    <w:lvl w:ilvl="7" w:tplc="9894137C">
      <w:numFmt w:val="bullet"/>
      <w:lvlText w:val="•"/>
      <w:lvlJc w:val="left"/>
      <w:pPr>
        <w:ind w:left="9768" w:hanging="360"/>
      </w:pPr>
      <w:rPr>
        <w:rFonts w:hint="default"/>
        <w:lang w:val="en-US" w:eastAsia="en-US" w:bidi="en-US"/>
      </w:rPr>
    </w:lvl>
    <w:lvl w:ilvl="8" w:tplc="C436E102">
      <w:numFmt w:val="bullet"/>
      <w:lvlText w:val="•"/>
      <w:lvlJc w:val="left"/>
      <w:pPr>
        <w:ind w:left="1025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46F3"/>
    <w:rsid w:val="00013047"/>
    <w:rsid w:val="003D46F3"/>
    <w:rsid w:val="005B2FFB"/>
    <w:rsid w:val="00665421"/>
    <w:rsid w:val="00FE2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46F3"/>
    <w:pPr>
      <w:widowControl w:val="0"/>
      <w:autoSpaceDE w:val="0"/>
      <w:autoSpaceDN w:val="0"/>
      <w:spacing w:after="0" w:line="240" w:lineRule="auto"/>
    </w:pPr>
    <w:rPr>
      <w:rFonts w:ascii="Candara" w:eastAsia="Candara" w:hAnsi="Candara" w:cs="Candara"/>
      <w:sz w:val="18"/>
      <w:szCs w:val="18"/>
      <w:lang w:bidi="en-US"/>
    </w:rPr>
  </w:style>
  <w:style w:type="character" w:customStyle="1" w:styleId="BodyTextChar">
    <w:name w:val="Body Text Char"/>
    <w:basedOn w:val="DefaultParagraphFont"/>
    <w:link w:val="BodyText"/>
    <w:uiPriority w:val="1"/>
    <w:rsid w:val="003D46F3"/>
    <w:rPr>
      <w:rFonts w:ascii="Candara" w:eastAsia="Candara" w:hAnsi="Candara" w:cs="Candara"/>
      <w:sz w:val="18"/>
      <w:szCs w:val="18"/>
      <w:lang w:bidi="en-US"/>
    </w:rPr>
  </w:style>
  <w:style w:type="paragraph" w:styleId="ListParagraph">
    <w:name w:val="List Paragraph"/>
    <w:basedOn w:val="Normal"/>
    <w:uiPriority w:val="1"/>
    <w:qFormat/>
    <w:rsid w:val="003D46F3"/>
    <w:pPr>
      <w:widowControl w:val="0"/>
      <w:autoSpaceDE w:val="0"/>
      <w:autoSpaceDN w:val="0"/>
      <w:spacing w:before="2" w:after="0" w:line="240" w:lineRule="auto"/>
      <w:ind w:left="6389" w:hanging="361"/>
    </w:pPr>
    <w:rPr>
      <w:rFonts w:ascii="Candara" w:eastAsia="Candara" w:hAnsi="Candara" w:cs="Candara"/>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3</cp:revision>
  <dcterms:created xsi:type="dcterms:W3CDTF">2019-05-16T06:15:00Z</dcterms:created>
  <dcterms:modified xsi:type="dcterms:W3CDTF">2019-05-16T09:23:00Z</dcterms:modified>
</cp:coreProperties>
</file>